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E6" w:rsidRPr="009A55E6" w:rsidRDefault="009A55E6" w:rsidP="009A55E6">
      <w:pPr>
        <w:spacing w:after="0" w:line="0" w:lineRule="auto"/>
        <w:jc w:val="center"/>
        <w:outlineLvl w:val="0"/>
        <w:rPr>
          <w:rFonts w:ascii="blanchcondensed" w:eastAsia="Times New Roman" w:hAnsi="blanchcondensed" w:cs="Times New Roman"/>
          <w:color w:val="363636"/>
          <w:kern w:val="36"/>
          <w:sz w:val="38"/>
          <w:szCs w:val="38"/>
        </w:rPr>
      </w:pPr>
      <w:r w:rsidRPr="009A55E6">
        <w:rPr>
          <w:rFonts w:ascii="blanchcondensed" w:eastAsia="Times New Roman" w:hAnsi="blanchcondensed" w:cs="Times New Roman"/>
          <w:color w:val="363636"/>
          <w:kern w:val="36"/>
          <w:sz w:val="38"/>
          <w:szCs w:val="38"/>
        </w:rPr>
        <w:t>RADIOLOGIA ORTOPEDICA IN SALA OPERATORIA E TSRM: ASPETTI TECNICI E PROTEZIONISTICI</w:t>
      </w:r>
    </w:p>
    <w:p w:rsidR="009A55E6" w:rsidRPr="00F64AA0" w:rsidRDefault="009A55E6" w:rsidP="009A55E6">
      <w:pPr>
        <w:jc w:val="center"/>
        <w:rPr>
          <w:rFonts w:ascii="Arial" w:hAnsi="Arial" w:cs="Arial"/>
          <w:b/>
          <w:sz w:val="28"/>
        </w:rPr>
      </w:pPr>
      <w:r w:rsidRPr="00F64AA0">
        <w:rPr>
          <w:rFonts w:ascii="Arial" w:hAnsi="Arial" w:cs="Arial"/>
          <w:b/>
          <w:sz w:val="28"/>
        </w:rPr>
        <w:t>RADIOLOGIA ORTOPEDICA IN SALA OPERATORIA E TSRM:</w:t>
      </w:r>
    </w:p>
    <w:p w:rsidR="009A55E6" w:rsidRDefault="009A55E6" w:rsidP="009A55E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64AA0">
        <w:rPr>
          <w:rFonts w:ascii="Arial" w:hAnsi="Arial" w:cs="Arial"/>
          <w:b/>
          <w:sz w:val="28"/>
        </w:rPr>
        <w:t>ASPETTI TECNICI E PROTEZIONISTICI</w:t>
      </w:r>
    </w:p>
    <w:p w:rsidR="009A55E6" w:rsidRDefault="009A55E6" w:rsidP="009A55E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A55E6" w:rsidRDefault="009A55E6" w:rsidP="009A55E6">
      <w:pPr>
        <w:spacing w:after="0" w:line="240" w:lineRule="auto"/>
        <w:jc w:val="center"/>
        <w:rPr>
          <w:rFonts w:ascii="Open Sans" w:eastAsia="Times New Roman" w:hAnsi="Open Sans" w:cs="Times New Roman"/>
          <w:color w:val="545454"/>
          <w:sz w:val="13"/>
          <w:szCs w:val="13"/>
        </w:rPr>
      </w:pPr>
    </w:p>
    <w:p w:rsidR="009A55E6" w:rsidRPr="009A55E6" w:rsidRDefault="009A55E6" w:rsidP="009A55E6">
      <w:pPr>
        <w:spacing w:after="179" w:line="240" w:lineRule="auto"/>
        <w:jc w:val="center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</w:rPr>
        <w:t>Il corso, cod. FORMED-003, è online dal 1 maggio fino al 10 dicembre 2014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 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Direttori del Corso e Responsabili scientifici: Giovanni de Caro,  Enzo Silvestri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 xml:space="preserve">Coautori: Marco Ciccone, Tito Luminati, Claudio Ratto, Patrizia </w:t>
      </w:r>
      <w:proofErr w:type="spellStart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Robello</w:t>
      </w:r>
      <w:proofErr w:type="spellEnd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 xml:space="preserve">, Eugenio </w:t>
      </w:r>
      <w:proofErr w:type="spellStart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Tagliafico</w:t>
      </w:r>
      <w:proofErr w:type="spellEnd"/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Il corso sarà online dal 1 maggio 2014 al 10 dicembre 2014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INFORMAZIONI SCIENTIFICHE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PERCORSO DIDATTICO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La piattaforma FAD offre strumenti interattivi che possono facilitare l’apprendimento della materia.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br/>
        <w:t>L’attribuzione dei crediti avviene al superamento del test finale che deve essere eseguito direttamente online al termine della lettura.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br/>
        <w:t>Il relativo attestato viene generato sempre online al superamento del test (almeno 75% di risposte esatte).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br/>
        <w:t>Il test può essere ripetuto senza limite al numero di tentativi.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br/>
        <w:t>Il rilascio dei crediti ECM è subordinato al superamento dell’esame online. Il relativo attestato viene generato sempre online al superamento del test (almeno 75% di risposte esatte) ed è subordinato alla verifica amministrativa dei requisiti.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br/>
        <w:t>Il test può essere ripetuto senza limite al numero di tentativi.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Editor: Enzo Silvestri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Il corso è online dal 1 maggio 2014 al 10 dicembre 2014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br/>
        <w:t>Il corso è accreditato per 700 Tecnici Sanitari di Radiologia Medica (TSRM).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Crediti ECM: 20 (venti)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 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Razionale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Il Manuale è ideato con l’intento di rispondere ad un’esigenza di formazione dei TSRM,  in particolare di quelli che svolgono attività professionale  in blocchi operatori.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br/>
        <w:t>L’obiettivo è  fornire ai partecipanti le conoscenze e le competenze sia tecniche che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 xml:space="preserve">assistenziali per la tutela degli altri operatori e dei pazienti durante l’intervento ortopedico in sala operatoria, evidenziando anche gli aspetti </w:t>
      </w:r>
      <w:proofErr w:type="spellStart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radioprotezionistici</w:t>
      </w:r>
      <w:proofErr w:type="spellEnd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 xml:space="preserve"> e multidisciplinari.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Saranno evidenziati gli aspetti tecnici che il TSRM dovrà attuare durante la seduta operatoria  in quanto è  il principale professionista ad essere preparato e qualificato per lʼ uso di queste apparecchiature a supporto dell’equipe ortopedica.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La sinergia nell’equipe è finalizzata all’ottimizzazione del lavoro delle figure professionali coinvolte, assicurando qualità e sicurezza nell’ esecuzione delle prestazioni, volta in ogni caso al beneficio del paziente.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L’impostazione didattica del Corso è articolata in 6 sezioni nelle quali vengono affrontati gli aspetti tecnologici e la tecnica di effettuazione degli esami con dettagliata iconografia riferita alla metodica in atto.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 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  <w:u w:val="single"/>
        </w:rPr>
        <w:t xml:space="preserve">Capitolo 1 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Apparecchiature con arco a C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Caratteristiche tecniche:</w:t>
      </w:r>
    </w:p>
    <w:p w:rsidR="009A55E6" w:rsidRPr="009A55E6" w:rsidRDefault="009A55E6" w:rsidP="009A55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Intensificatore di Brillanza</w:t>
      </w:r>
    </w:p>
    <w:p w:rsidR="009A55E6" w:rsidRPr="009A55E6" w:rsidRDefault="009A55E6" w:rsidP="009A55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Complesso Radiogeno</w:t>
      </w:r>
    </w:p>
    <w:p w:rsidR="009A55E6" w:rsidRPr="009A55E6" w:rsidRDefault="009A55E6" w:rsidP="009A55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Monitor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  <w:u w:val="single"/>
        </w:rPr>
        <w:t xml:space="preserve">Capitolo 2 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La meccanica dell’arco a C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Movimentazione dell’arco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  <w:u w:val="single"/>
        </w:rPr>
        <w:t xml:space="preserve">Capitolo 3 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Ottimizzazione della dose e radioprotezione dell’equipe e del paziente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  <w:u w:val="single"/>
        </w:rPr>
        <w:t xml:space="preserve">Capitolo 4 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Procedure Chirurgiche Ortopediche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Bacino e Anca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Femore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lastRenderedPageBreak/>
        <w:t>Ginocchio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Gamba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Caviglia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Piede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Spalla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Omero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Gomito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Avambraccio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Polso</w:t>
      </w:r>
    </w:p>
    <w:p w:rsidR="009A55E6" w:rsidRPr="009A55E6" w:rsidRDefault="009A55E6" w:rsidP="009A55E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Mano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  <w:u w:val="single"/>
        </w:rPr>
        <w:t xml:space="preserve">Capitolo 5 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Norme igieniche per il sistema I.B.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  <w:u w:val="single"/>
        </w:rPr>
        <w:t>Capitolo 6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Normative, operatività e controlli del sistema I.B. 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 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INFORMAZIONI GENERALI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 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Requisiti minimi delle postazioni informatiche per i servizi di FAD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 xml:space="preserve">Processore: 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non inferiore Pentium III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 xml:space="preserve">Memoria: 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almeno 512 Mb o superiore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 xml:space="preserve">Hard Disk: 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non inferiore a 50Gb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 xml:space="preserve">Sistema operativo: 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Windows XP, Vista 7, oppure Mac OS X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Software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 xml:space="preserve">: Browser Explorer 6 o superiore (versione 9 non compatibile), Google </w:t>
      </w:r>
      <w:proofErr w:type="spellStart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Chrome</w:t>
      </w:r>
      <w:proofErr w:type="spellEnd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 xml:space="preserve">, </w:t>
      </w:r>
      <w:proofErr w:type="spellStart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Firefox</w:t>
      </w:r>
      <w:proofErr w:type="spellEnd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, Opera, Acrobat Reader, Java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Schermo: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 xml:space="preserve"> 17 pollici risoluzione ottimale non inferiore Pentium III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 xml:space="preserve">Processore: 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non inferiore Pentium III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 </w:t>
      </w:r>
    </w:p>
    <w:p w:rsid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ISCRIZIONE</w:t>
      </w:r>
    </w:p>
    <w:p w:rsidR="001B082F" w:rsidRPr="001B082F" w:rsidRDefault="001B082F" w:rsidP="001B082F">
      <w:pPr>
        <w:spacing w:after="0" w:line="240" w:lineRule="auto"/>
        <w:jc w:val="both"/>
        <w:rPr>
          <w:rFonts w:ascii="Garamond" w:hAnsi="Garamond"/>
          <w:sz w:val="13"/>
          <w:szCs w:val="13"/>
        </w:rPr>
      </w:pPr>
      <w:r w:rsidRPr="001B082F">
        <w:rPr>
          <w:rFonts w:ascii="Garamond" w:hAnsi="Garamond"/>
          <w:sz w:val="13"/>
          <w:szCs w:val="13"/>
        </w:rPr>
        <w:t>Per cercare di contribuire, per quanto possibile, ad aiutare i giovani Colleghi laureti che si trovano in un momento di difficoltà occupazionale dovuta ai vari provvedimenti nazionali e regionali che tutti ben conosciamo, il Collegio Interprovinciale dei Tecnici Sanitari di Radiologia Medica di Genova, Imperia e Savona, ha deciso all’unanimità nell’Assemblea ordinaria del novembre 2013 di promuovere un’iniziativa di solidarietà che consenta di acquisire, in forma gratuita o comunque a spese ridotte, parte dei crediti ECM obbligatori  per l’anno 2014.</w:t>
      </w:r>
    </w:p>
    <w:p w:rsidR="001B082F" w:rsidRPr="001B082F" w:rsidRDefault="001B082F" w:rsidP="001B082F">
      <w:pPr>
        <w:spacing w:after="0" w:line="240" w:lineRule="auto"/>
        <w:jc w:val="both"/>
        <w:rPr>
          <w:rFonts w:ascii="Garamond" w:hAnsi="Garamond" w:cs="Arial"/>
          <w:sz w:val="13"/>
          <w:szCs w:val="13"/>
        </w:rPr>
      </w:pPr>
      <w:r w:rsidRPr="001B082F">
        <w:rPr>
          <w:rFonts w:ascii="Garamond" w:hAnsi="Garamond" w:cs="Arial"/>
          <w:sz w:val="13"/>
          <w:szCs w:val="13"/>
        </w:rPr>
        <w:t xml:space="preserve">Il Collegio propone quindi l’iscrizione gratuita, per i soli Colleghi NON OCCUPATI, ad un primo corso FAD (Formazione a Distanza, ricordiamo che da due anni a questa parte è possibile conseguire tutti i crediti ECM via FAD) </w:t>
      </w:r>
      <w:r w:rsidRPr="001B082F">
        <w:rPr>
          <w:rFonts w:ascii="Garamond" w:hAnsi="Garamond" w:cs="Arial"/>
          <w:b/>
          <w:sz w:val="13"/>
          <w:szCs w:val="13"/>
        </w:rPr>
        <w:t>RADIOLOGIA ORTOPEDICA IN SALA OPERATORIA E TSRM: ASPETTI TECNICI E PROTEZIONISTICI</w:t>
      </w:r>
      <w:r w:rsidRPr="001B082F">
        <w:rPr>
          <w:rFonts w:ascii="Garamond" w:hAnsi="Garamond" w:cs="Arial"/>
          <w:sz w:val="13"/>
          <w:szCs w:val="13"/>
        </w:rPr>
        <w:t xml:space="preserve"> sviluppato da Colleghi iscritti al nostro Albo Professionale che è accreditato di 20 crediti ECM per TSRM.</w:t>
      </w:r>
    </w:p>
    <w:p w:rsidR="001B082F" w:rsidRPr="001B082F" w:rsidRDefault="001B082F" w:rsidP="001B082F">
      <w:pPr>
        <w:spacing w:after="0" w:line="240" w:lineRule="auto"/>
        <w:jc w:val="both"/>
        <w:rPr>
          <w:rFonts w:ascii="Garamond" w:hAnsi="Garamond" w:cs="Arial"/>
          <w:sz w:val="13"/>
          <w:szCs w:val="13"/>
        </w:rPr>
      </w:pPr>
      <w:r w:rsidRPr="001B082F">
        <w:rPr>
          <w:rFonts w:ascii="Garamond" w:hAnsi="Garamond" w:cs="Arial"/>
          <w:sz w:val="13"/>
          <w:szCs w:val="13"/>
        </w:rPr>
        <w:t xml:space="preserve">Il costo del Corso è a carico integrale del Collegio, per usufruire dell’agevolazione è sufficiente compilare il modulo allegato e trasmetterlo via mail a </w:t>
      </w:r>
      <w:hyperlink r:id="rId6" w:history="1">
        <w:r w:rsidRPr="001B082F">
          <w:rPr>
            <w:rStyle w:val="Collegamentoipertestuale"/>
            <w:rFonts w:ascii="Garamond" w:hAnsi="Garamond" w:cs="Arial"/>
            <w:sz w:val="13"/>
            <w:szCs w:val="13"/>
          </w:rPr>
          <w:t>info@tsrmgeimsv.net</w:t>
        </w:r>
      </w:hyperlink>
      <w:r w:rsidRPr="001B082F">
        <w:rPr>
          <w:rFonts w:ascii="Garamond" w:hAnsi="Garamond" w:cs="Arial"/>
          <w:sz w:val="13"/>
          <w:szCs w:val="13"/>
        </w:rPr>
        <w:t xml:space="preserve">. Nel giro di qualche giorno si riceverà login e password per accedere alla piattaforma formativa e frequentare il Corso. Al termine si dovrà provvedere a trasmettere (sempre via mail) al Collegio il certificato di frequenza. </w:t>
      </w:r>
    </w:p>
    <w:p w:rsidR="001B082F" w:rsidRPr="001B082F" w:rsidRDefault="001B082F" w:rsidP="001B082F">
      <w:pPr>
        <w:spacing w:after="0" w:line="240" w:lineRule="auto"/>
        <w:jc w:val="both"/>
        <w:rPr>
          <w:sz w:val="13"/>
          <w:szCs w:val="13"/>
        </w:rPr>
      </w:pPr>
      <w:r w:rsidRPr="001B082F">
        <w:rPr>
          <w:rFonts w:ascii="Garamond" w:hAnsi="Garamond" w:cs="Arial"/>
          <w:sz w:val="13"/>
          <w:szCs w:val="13"/>
        </w:rPr>
        <w:t xml:space="preserve">Il Corso in questione è ovviamente disponibile sulla piattaforma </w:t>
      </w:r>
      <w:hyperlink r:id="rId7" w:history="1">
        <w:r w:rsidRPr="001B082F">
          <w:rPr>
            <w:rStyle w:val="Collegamentoipertestuale"/>
            <w:rFonts w:ascii="Garamond" w:hAnsi="Garamond" w:cs="Arial"/>
            <w:b/>
            <w:sz w:val="13"/>
            <w:szCs w:val="13"/>
          </w:rPr>
          <w:t>www.formedsrl.com</w:t>
        </w:r>
      </w:hyperlink>
      <w:r w:rsidRPr="001B082F">
        <w:rPr>
          <w:rFonts w:ascii="Garamond" w:hAnsi="Garamond"/>
          <w:sz w:val="13"/>
          <w:szCs w:val="13"/>
        </w:rPr>
        <w:t xml:space="preserve"> per tutti i TSRM interessati al costo di € 29.</w:t>
      </w:r>
      <w:r w:rsidRPr="001B082F">
        <w:rPr>
          <w:sz w:val="13"/>
          <w:szCs w:val="13"/>
        </w:rPr>
        <w:t xml:space="preserve"> </w:t>
      </w:r>
    </w:p>
    <w:p w:rsidR="001B082F" w:rsidRPr="001B082F" w:rsidRDefault="001B082F" w:rsidP="001B082F">
      <w:pPr>
        <w:spacing w:after="0" w:line="240" w:lineRule="auto"/>
        <w:jc w:val="both"/>
        <w:rPr>
          <w:rFonts w:ascii="Garamond" w:hAnsi="Garamond" w:cs="Arial"/>
          <w:sz w:val="13"/>
          <w:szCs w:val="13"/>
        </w:rPr>
      </w:pPr>
      <w:r w:rsidRPr="001B082F">
        <w:rPr>
          <w:rFonts w:ascii="Garamond" w:hAnsi="Garamond" w:cs="Arial"/>
          <w:sz w:val="13"/>
          <w:szCs w:val="13"/>
        </w:rPr>
        <w:t>Contiamo nella collaborazione di tutti per non far rimanere unica questa prima iniziativa.</w:t>
      </w:r>
    </w:p>
    <w:p w:rsidR="001B082F" w:rsidRPr="001B082F" w:rsidRDefault="001B082F" w:rsidP="001B082F">
      <w:pPr>
        <w:spacing w:after="0" w:line="240" w:lineRule="auto"/>
        <w:jc w:val="both"/>
        <w:rPr>
          <w:rFonts w:ascii="Garamond" w:hAnsi="Garamond" w:cs="Arial"/>
          <w:sz w:val="13"/>
          <w:szCs w:val="13"/>
        </w:rPr>
      </w:pPr>
      <w:r w:rsidRPr="001B082F">
        <w:rPr>
          <w:rFonts w:ascii="Garamond" w:hAnsi="Garamond" w:cs="Arial"/>
          <w:sz w:val="13"/>
          <w:szCs w:val="13"/>
        </w:rPr>
        <w:t>Buon lavoro.</w:t>
      </w:r>
    </w:p>
    <w:p w:rsidR="001B082F" w:rsidRPr="001B082F" w:rsidRDefault="001B082F" w:rsidP="001B082F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Il corso è a pagamento al costo di € 29,00 Euro IVA compresa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La quota d’iscrizione può essere versata utilizzando una delle due seguenti modalità: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</w:rPr>
        <w:t xml:space="preserve">Pagamento con carta di credito (attraverso </w:t>
      </w:r>
      <w:proofErr w:type="spellStart"/>
      <w:r w:rsidRPr="009A55E6">
        <w:rPr>
          <w:rFonts w:ascii="Open Sans" w:eastAsia="Times New Roman" w:hAnsi="Open Sans" w:cs="Times New Roman"/>
          <w:b/>
          <w:bCs/>
          <w:color w:val="545454"/>
          <w:sz w:val="13"/>
        </w:rPr>
        <w:t>Paypal</w:t>
      </w:r>
      <w:proofErr w:type="spellEnd"/>
      <w:r w:rsidRPr="009A55E6">
        <w:rPr>
          <w:rFonts w:ascii="Open Sans" w:eastAsia="Times New Roman" w:hAnsi="Open Sans" w:cs="Times New Roman"/>
          <w:b/>
          <w:bCs/>
          <w:color w:val="545454"/>
          <w:sz w:val="13"/>
        </w:rPr>
        <w:t xml:space="preserve">). </w:t>
      </w: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br/>
        <w:t>Scegliendo questa modalità il pagamento verrà effettuato contestualmente alla procedura di registrazione.</w:t>
      </w:r>
    </w:p>
    <w:p w:rsidR="009A55E6" w:rsidRPr="009A55E6" w:rsidRDefault="009A55E6" w:rsidP="009A55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Cliccare sul link di registrazione sopraindicato in questa stessa pagina.</w:t>
      </w:r>
    </w:p>
    <w:p w:rsidR="009A55E6" w:rsidRPr="009A55E6" w:rsidRDefault="009A55E6" w:rsidP="009A55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Compilare e inviare il modulo con i dati richiesti al fine di permettere una corretta erogazione dei crediti formativi.</w:t>
      </w:r>
    </w:p>
    <w:p w:rsidR="009A55E6" w:rsidRPr="009A55E6" w:rsidRDefault="009A55E6" w:rsidP="009A55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 xml:space="preserve">Selezionare il pagamento con carta di credito (opzione 1) cliccando sull’immagine; si verrà condotti al sito sicuro </w:t>
      </w:r>
      <w:proofErr w:type="spellStart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Paypal</w:t>
      </w:r>
      <w:proofErr w:type="spellEnd"/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.</w:t>
      </w:r>
    </w:p>
    <w:p w:rsidR="009A55E6" w:rsidRPr="009A55E6" w:rsidRDefault="009A55E6" w:rsidP="009A55E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Al termine della procedura di pagamento si riceverà una email contenente i dati per l’accesso al corso, utilizzabili da subito.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 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b/>
          <w:bCs/>
          <w:color w:val="545454"/>
          <w:sz w:val="13"/>
          <w:szCs w:val="13"/>
        </w:rPr>
        <w:t>SEGRETERIA ORGANIZZATIVA: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FOR.MED. SRL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Via T. Pendola, 7/2 – 16143 Genova</w:t>
      </w:r>
    </w:p>
    <w:p w:rsidR="009A55E6" w:rsidRPr="009A55E6" w:rsidRDefault="009A55E6" w:rsidP="009A55E6">
      <w:pPr>
        <w:spacing w:after="179" w:line="240" w:lineRule="auto"/>
        <w:rPr>
          <w:rFonts w:ascii="Open Sans" w:eastAsia="Times New Roman" w:hAnsi="Open Sans" w:cs="Times New Roman"/>
          <w:color w:val="545454"/>
          <w:sz w:val="13"/>
          <w:szCs w:val="13"/>
        </w:rPr>
      </w:pPr>
      <w:r w:rsidRPr="009A55E6">
        <w:rPr>
          <w:rFonts w:ascii="Open Sans" w:eastAsia="Times New Roman" w:hAnsi="Open Sans" w:cs="Times New Roman"/>
          <w:color w:val="545454"/>
          <w:sz w:val="13"/>
          <w:szCs w:val="13"/>
        </w:rPr>
        <w:t>Tel. 010 3514151 – Fax 010 504704</w:t>
      </w:r>
    </w:p>
    <w:p w:rsidR="0080248F" w:rsidRDefault="0080248F"/>
    <w:sectPr w:rsidR="0080248F" w:rsidSect="00802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nch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293"/>
    <w:multiLevelType w:val="multilevel"/>
    <w:tmpl w:val="4FD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F4EDF"/>
    <w:multiLevelType w:val="multilevel"/>
    <w:tmpl w:val="E88C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05D59"/>
    <w:multiLevelType w:val="multilevel"/>
    <w:tmpl w:val="B57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E6"/>
    <w:rsid w:val="001B082F"/>
    <w:rsid w:val="0080248F"/>
    <w:rsid w:val="009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55E6"/>
    <w:pPr>
      <w:spacing w:before="100" w:beforeAutospacing="1" w:after="100" w:afterAutospacing="1" w:line="240" w:lineRule="auto"/>
      <w:outlineLvl w:val="0"/>
    </w:pPr>
    <w:rPr>
      <w:rFonts w:ascii="blanchcondensed" w:eastAsia="Times New Roman" w:hAnsi="blanchcondensed" w:cs="Times New Roman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55E6"/>
    <w:rPr>
      <w:rFonts w:ascii="blanchcondensed" w:eastAsia="Times New Roman" w:hAnsi="blanchcondensed" w:cs="Times New Roman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55E6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A55E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A55E6"/>
    <w:pPr>
      <w:spacing w:after="17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55E6"/>
    <w:pPr>
      <w:spacing w:before="100" w:beforeAutospacing="1" w:after="100" w:afterAutospacing="1" w:line="240" w:lineRule="auto"/>
      <w:outlineLvl w:val="0"/>
    </w:pPr>
    <w:rPr>
      <w:rFonts w:ascii="blanchcondensed" w:eastAsia="Times New Roman" w:hAnsi="blanchcondensed" w:cs="Times New Roman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55E6"/>
    <w:rPr>
      <w:rFonts w:ascii="blanchcondensed" w:eastAsia="Times New Roman" w:hAnsi="blanchcondensed" w:cs="Times New Roman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55E6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A55E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A55E6"/>
    <w:pPr>
      <w:spacing w:after="17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673">
              <w:marLeft w:val="-35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5334">
                  <w:marLeft w:val="35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90208">
                                      <w:marLeft w:val="0"/>
                                      <w:marRight w:val="0"/>
                                      <w:marTop w:val="248"/>
                                      <w:marBottom w:val="1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7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medsr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srmgeims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02613</dc:creator>
  <cp:lastModifiedBy>Francesco</cp:lastModifiedBy>
  <cp:revision>2</cp:revision>
  <dcterms:created xsi:type="dcterms:W3CDTF">2014-05-10T16:54:00Z</dcterms:created>
  <dcterms:modified xsi:type="dcterms:W3CDTF">2014-05-10T16:54:00Z</dcterms:modified>
</cp:coreProperties>
</file>